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17" w:rsidRDefault="00090317" w:rsidP="004660E0">
      <w:pPr>
        <w:jc w:val="center"/>
        <w:rPr>
          <w:b/>
          <w:sz w:val="28"/>
          <w:szCs w:val="28"/>
          <w:u w:val="single"/>
        </w:rPr>
      </w:pPr>
      <w:bookmarkStart w:id="0" w:name="_GoBack"/>
      <w:bookmarkEnd w:id="0"/>
    </w:p>
    <w:p w:rsidR="00C91C19" w:rsidRPr="00C65DC1" w:rsidRDefault="00C91C19" w:rsidP="004660E0">
      <w:pPr>
        <w:jc w:val="center"/>
        <w:rPr>
          <w:b/>
          <w:sz w:val="26"/>
          <w:szCs w:val="26"/>
          <w:u w:val="single"/>
        </w:rPr>
      </w:pPr>
      <w:r w:rsidRPr="00C65DC1">
        <w:rPr>
          <w:b/>
          <w:sz w:val="26"/>
          <w:szCs w:val="26"/>
          <w:u w:val="single"/>
        </w:rPr>
        <w:t>Informed Consent:</w:t>
      </w:r>
    </w:p>
    <w:p w:rsidR="00C91C19" w:rsidRDefault="00C91C19">
      <w:pPr>
        <w:rPr>
          <w:b/>
        </w:rPr>
      </w:pPr>
    </w:p>
    <w:p w:rsidR="00247E63" w:rsidRPr="00C65DC1" w:rsidRDefault="004660E0" w:rsidP="00247E63">
      <w:pPr>
        <w:rPr>
          <w:sz w:val="22"/>
          <w:szCs w:val="22"/>
        </w:rPr>
      </w:pPr>
      <w:r w:rsidRPr="00C65DC1">
        <w:rPr>
          <w:sz w:val="22"/>
          <w:szCs w:val="22"/>
        </w:rPr>
        <w:t xml:space="preserve">Please read the following carefully, and sign </w:t>
      </w:r>
      <w:r w:rsidR="00E94519" w:rsidRPr="00C65DC1">
        <w:rPr>
          <w:sz w:val="22"/>
          <w:szCs w:val="22"/>
        </w:rPr>
        <w:t>that</w:t>
      </w:r>
      <w:r w:rsidRPr="00C65DC1">
        <w:rPr>
          <w:sz w:val="22"/>
          <w:szCs w:val="22"/>
        </w:rPr>
        <w:t xml:space="preserve"> you fully understand</w:t>
      </w:r>
      <w:r w:rsidR="00E94519" w:rsidRPr="00C65DC1">
        <w:rPr>
          <w:sz w:val="22"/>
          <w:szCs w:val="22"/>
        </w:rPr>
        <w:t xml:space="preserve"> the risks</w:t>
      </w:r>
      <w:r w:rsidRPr="00C65DC1">
        <w:rPr>
          <w:sz w:val="22"/>
          <w:szCs w:val="22"/>
        </w:rPr>
        <w:t xml:space="preserve">. If you have any questions or do not understand the following information, please ask your physician during your consultation. </w:t>
      </w:r>
    </w:p>
    <w:p w:rsidR="00C91C19" w:rsidRPr="00C65DC1" w:rsidRDefault="00C91C19">
      <w:pPr>
        <w:rPr>
          <w:b/>
          <w:sz w:val="22"/>
          <w:szCs w:val="22"/>
        </w:rPr>
      </w:pPr>
    </w:p>
    <w:p w:rsidR="00C91C19" w:rsidRPr="00C65DC1" w:rsidRDefault="00C91C19" w:rsidP="00C91C19">
      <w:pPr>
        <w:rPr>
          <w:b/>
          <w:bCs/>
          <w:sz w:val="22"/>
          <w:szCs w:val="22"/>
        </w:rPr>
      </w:pPr>
      <w:r w:rsidRPr="00C65DC1">
        <w:rPr>
          <w:b/>
          <w:bCs/>
          <w:sz w:val="22"/>
          <w:szCs w:val="22"/>
          <w:highlight w:val="yellow"/>
        </w:rPr>
        <w:t>ANESTHESIA:</w:t>
      </w:r>
      <w:r w:rsidRPr="00C65DC1">
        <w:rPr>
          <w:sz w:val="22"/>
          <w:szCs w:val="22"/>
        </w:rPr>
        <w:t xml:space="preserve"> General anesthesia comes with related risks</w:t>
      </w:r>
      <w:r w:rsidR="00855956">
        <w:rPr>
          <w:sz w:val="22"/>
          <w:szCs w:val="22"/>
        </w:rPr>
        <w:t>, all of which are</w:t>
      </w:r>
      <w:r w:rsidRPr="00C65DC1">
        <w:rPr>
          <w:sz w:val="22"/>
          <w:szCs w:val="22"/>
        </w:rPr>
        <w:t xml:space="preserve"> </w:t>
      </w:r>
      <w:r w:rsidR="00247E63" w:rsidRPr="00C65DC1">
        <w:rPr>
          <w:sz w:val="22"/>
          <w:szCs w:val="22"/>
        </w:rPr>
        <w:t xml:space="preserve">discussed </w:t>
      </w:r>
      <w:r w:rsidRPr="00C65DC1">
        <w:rPr>
          <w:sz w:val="22"/>
          <w:szCs w:val="22"/>
        </w:rPr>
        <w:t>during your appointment. Some may range from common risks such as damage</w:t>
      </w:r>
      <w:r w:rsidR="00855956">
        <w:rPr>
          <w:sz w:val="22"/>
          <w:szCs w:val="22"/>
        </w:rPr>
        <w:t>d</w:t>
      </w:r>
      <w:r w:rsidRPr="00C65DC1">
        <w:rPr>
          <w:sz w:val="22"/>
          <w:szCs w:val="22"/>
        </w:rPr>
        <w:t xml:space="preserve"> teeth, hoarse voice, </w:t>
      </w:r>
      <w:r w:rsidR="00855956">
        <w:rPr>
          <w:sz w:val="22"/>
          <w:szCs w:val="22"/>
        </w:rPr>
        <w:t>allergic reactions to drugs,</w:t>
      </w:r>
      <w:r w:rsidRPr="00C65DC1">
        <w:rPr>
          <w:sz w:val="22"/>
          <w:szCs w:val="22"/>
        </w:rPr>
        <w:t xml:space="preserve"> damage to the nerves, or asthma attacks. Other more ser</w:t>
      </w:r>
      <w:r w:rsidR="00855956">
        <w:rPr>
          <w:sz w:val="22"/>
          <w:szCs w:val="22"/>
        </w:rPr>
        <w:t>ious related risks include</w:t>
      </w:r>
      <w:r w:rsidRPr="00C65DC1">
        <w:rPr>
          <w:sz w:val="22"/>
          <w:szCs w:val="22"/>
        </w:rPr>
        <w:t xml:space="preserve"> stroke, heart attack, kidney or lung damage, paralysis, or even death. </w:t>
      </w:r>
    </w:p>
    <w:p w:rsidR="00C91C19" w:rsidRPr="00C65DC1" w:rsidRDefault="00C91C19">
      <w:pPr>
        <w:rPr>
          <w:b/>
          <w:sz w:val="22"/>
          <w:szCs w:val="22"/>
        </w:rPr>
      </w:pPr>
    </w:p>
    <w:p w:rsidR="00AD1B05" w:rsidRPr="00C65DC1" w:rsidRDefault="005C66C6">
      <w:pPr>
        <w:rPr>
          <w:sz w:val="22"/>
          <w:szCs w:val="22"/>
        </w:rPr>
      </w:pPr>
      <w:r w:rsidRPr="00C65DC1">
        <w:rPr>
          <w:b/>
          <w:sz w:val="22"/>
          <w:szCs w:val="22"/>
          <w:highlight w:val="yellow"/>
        </w:rPr>
        <w:t>OB</w:t>
      </w:r>
      <w:r w:rsidR="00C91C19" w:rsidRPr="00C65DC1">
        <w:rPr>
          <w:b/>
          <w:sz w:val="22"/>
          <w:szCs w:val="22"/>
          <w:highlight w:val="yellow"/>
        </w:rPr>
        <w:t>ESITY (BMI&gt;40):</w:t>
      </w:r>
      <w:r w:rsidR="00C91C19" w:rsidRPr="00C65DC1">
        <w:rPr>
          <w:sz w:val="22"/>
          <w:szCs w:val="22"/>
        </w:rPr>
        <w:t xml:space="preserve"> In </w:t>
      </w:r>
      <w:r w:rsidR="00247E63" w:rsidRPr="00C65DC1">
        <w:rPr>
          <w:sz w:val="22"/>
          <w:szCs w:val="22"/>
        </w:rPr>
        <w:t>any operative case</w:t>
      </w:r>
      <w:r w:rsidR="00C91C19" w:rsidRPr="00C65DC1">
        <w:rPr>
          <w:sz w:val="22"/>
          <w:szCs w:val="22"/>
        </w:rPr>
        <w:t>, i</w:t>
      </w:r>
      <w:r w:rsidR="00247E63" w:rsidRPr="00C65DC1">
        <w:rPr>
          <w:sz w:val="22"/>
          <w:szCs w:val="22"/>
        </w:rPr>
        <w:t>ncreased body mass</w:t>
      </w:r>
      <w:r w:rsidR="00C91C19" w:rsidRPr="00C65DC1">
        <w:rPr>
          <w:sz w:val="22"/>
          <w:szCs w:val="22"/>
        </w:rPr>
        <w:t xml:space="preserve"> increase</w:t>
      </w:r>
      <w:r w:rsidR="00247E63" w:rsidRPr="00C65DC1">
        <w:rPr>
          <w:sz w:val="22"/>
          <w:szCs w:val="22"/>
        </w:rPr>
        <w:t>s</w:t>
      </w:r>
      <w:r w:rsidR="00C91C19" w:rsidRPr="00C65DC1">
        <w:rPr>
          <w:sz w:val="22"/>
          <w:szCs w:val="22"/>
        </w:rPr>
        <w:t xml:space="preserve"> complication rates across the board, specifically infection, hematomas, delayed healing, venous thromboembolism, and even death. If a patient’s BMI </w:t>
      </w:r>
      <w:r w:rsidR="00247E63" w:rsidRPr="00C65DC1">
        <w:rPr>
          <w:sz w:val="22"/>
          <w:szCs w:val="22"/>
        </w:rPr>
        <w:t>is greater than 40 (calculated</w:t>
      </w:r>
      <w:r w:rsidR="00C91C19" w:rsidRPr="00C65DC1">
        <w:rPr>
          <w:sz w:val="22"/>
          <w:szCs w:val="22"/>
        </w:rPr>
        <w:t xml:space="preserve"> in consultation) </w:t>
      </w:r>
      <w:r w:rsidR="00247E63" w:rsidRPr="00C65DC1">
        <w:rPr>
          <w:sz w:val="22"/>
          <w:szCs w:val="22"/>
        </w:rPr>
        <w:t>we may</w:t>
      </w:r>
      <w:r w:rsidR="00C91C19" w:rsidRPr="00C65DC1">
        <w:rPr>
          <w:sz w:val="22"/>
          <w:szCs w:val="22"/>
        </w:rPr>
        <w:t xml:space="preserve"> require additional Medical Clearance before we can dete</w:t>
      </w:r>
      <w:r w:rsidR="00036661" w:rsidRPr="00C65DC1">
        <w:rPr>
          <w:sz w:val="22"/>
          <w:szCs w:val="22"/>
        </w:rPr>
        <w:t>rmine if</w:t>
      </w:r>
      <w:r w:rsidR="00410515" w:rsidRPr="00C65DC1">
        <w:rPr>
          <w:sz w:val="22"/>
          <w:szCs w:val="22"/>
        </w:rPr>
        <w:t xml:space="preserve"> surgery is an option. Be aware, the weight limit</w:t>
      </w:r>
      <w:r w:rsidR="00036661" w:rsidRPr="00C65DC1">
        <w:rPr>
          <w:sz w:val="22"/>
          <w:szCs w:val="22"/>
        </w:rPr>
        <w:t xml:space="preserve"> for our </w:t>
      </w:r>
      <w:r w:rsidR="00410515" w:rsidRPr="00C65DC1">
        <w:rPr>
          <w:sz w:val="22"/>
          <w:szCs w:val="22"/>
        </w:rPr>
        <w:t>outpatient surgery center is a BMI of 40 +/- 5%.</w:t>
      </w:r>
      <w:r w:rsidR="00036661" w:rsidRPr="00C65DC1">
        <w:rPr>
          <w:sz w:val="22"/>
          <w:szCs w:val="22"/>
        </w:rPr>
        <w:t xml:space="preserve"> </w:t>
      </w:r>
      <w:r w:rsidR="00410515" w:rsidRPr="00C65DC1">
        <w:rPr>
          <w:sz w:val="22"/>
          <w:szCs w:val="22"/>
        </w:rPr>
        <w:t>Weight gain increasing BMI &gt;</w:t>
      </w:r>
      <w:r w:rsidR="00AF5F53" w:rsidRPr="00C65DC1">
        <w:rPr>
          <w:sz w:val="22"/>
          <w:szCs w:val="22"/>
        </w:rPr>
        <w:t xml:space="preserve"> </w:t>
      </w:r>
      <w:r w:rsidR="00410515" w:rsidRPr="00C65DC1">
        <w:rPr>
          <w:sz w:val="22"/>
          <w:szCs w:val="22"/>
        </w:rPr>
        <w:t>of 5% of 40</w:t>
      </w:r>
      <w:r w:rsidR="00AF5F53" w:rsidRPr="00C65DC1">
        <w:rPr>
          <w:sz w:val="22"/>
          <w:szCs w:val="22"/>
        </w:rPr>
        <w:t xml:space="preserve"> may jeopardize your scheduled procedure. </w:t>
      </w:r>
      <w:r w:rsidR="00855956">
        <w:rPr>
          <w:sz w:val="22"/>
          <w:szCs w:val="22"/>
        </w:rPr>
        <w:t>A p</w:t>
      </w:r>
      <w:r w:rsidR="00C91C19" w:rsidRPr="00C65DC1">
        <w:rPr>
          <w:sz w:val="22"/>
          <w:szCs w:val="22"/>
        </w:rPr>
        <w:t xml:space="preserve">atient may be referred to Primary Care Physician for a weight loss consultation, </w:t>
      </w:r>
      <w:r w:rsidR="00247E63" w:rsidRPr="00C65DC1">
        <w:rPr>
          <w:sz w:val="22"/>
          <w:szCs w:val="22"/>
        </w:rPr>
        <w:t>and we may ask a</w:t>
      </w:r>
      <w:r w:rsidR="00C91C19" w:rsidRPr="00C65DC1">
        <w:rPr>
          <w:sz w:val="22"/>
          <w:szCs w:val="22"/>
        </w:rPr>
        <w:t xml:space="preserve"> patient to</w:t>
      </w:r>
      <w:r w:rsidR="00247E63" w:rsidRPr="00C65DC1">
        <w:rPr>
          <w:sz w:val="22"/>
          <w:szCs w:val="22"/>
        </w:rPr>
        <w:t xml:space="preserve"> consider</w:t>
      </w:r>
      <w:r w:rsidR="00C91C19" w:rsidRPr="00C65DC1">
        <w:rPr>
          <w:sz w:val="22"/>
          <w:szCs w:val="22"/>
        </w:rPr>
        <w:t xml:space="preserve"> </w:t>
      </w:r>
      <w:r w:rsidR="00247E63" w:rsidRPr="00C65DC1">
        <w:rPr>
          <w:sz w:val="22"/>
          <w:szCs w:val="22"/>
        </w:rPr>
        <w:t xml:space="preserve">weight reduction surgery. </w:t>
      </w:r>
    </w:p>
    <w:p w:rsidR="00C91C19" w:rsidRPr="00C65DC1" w:rsidRDefault="00C91C19">
      <w:pPr>
        <w:rPr>
          <w:b/>
          <w:sz w:val="22"/>
          <w:szCs w:val="22"/>
        </w:rPr>
      </w:pPr>
    </w:p>
    <w:p w:rsidR="00C91C19" w:rsidRPr="00C65DC1" w:rsidRDefault="005F23D6">
      <w:pPr>
        <w:rPr>
          <w:sz w:val="22"/>
          <w:szCs w:val="22"/>
        </w:rPr>
      </w:pPr>
      <w:r>
        <w:rPr>
          <w:b/>
          <w:sz w:val="22"/>
          <w:szCs w:val="22"/>
          <w:highlight w:val="yellow"/>
        </w:rPr>
        <w:t>NICOTINE USE</w:t>
      </w:r>
      <w:r w:rsidR="00C91C19" w:rsidRPr="00C65DC1">
        <w:rPr>
          <w:b/>
          <w:sz w:val="22"/>
          <w:szCs w:val="22"/>
          <w:highlight w:val="yellow"/>
        </w:rPr>
        <w:t>:</w:t>
      </w:r>
      <w:r w:rsidR="00C91C19" w:rsidRPr="00C65DC1">
        <w:rPr>
          <w:sz w:val="22"/>
          <w:szCs w:val="22"/>
        </w:rPr>
        <w:t xml:space="preserve"> Patients are advised that any result that they wish to achieve from surgery would be significantly improved by not smoking</w:t>
      </w:r>
      <w:r>
        <w:rPr>
          <w:sz w:val="22"/>
          <w:szCs w:val="22"/>
        </w:rPr>
        <w:t>, or using nicotine,</w:t>
      </w:r>
      <w:r w:rsidR="00C91C19" w:rsidRPr="00C65DC1">
        <w:rPr>
          <w:sz w:val="22"/>
          <w:szCs w:val="22"/>
        </w:rPr>
        <w:t xml:space="preserve"> </w:t>
      </w:r>
      <w:r w:rsidR="007841E7">
        <w:rPr>
          <w:sz w:val="22"/>
          <w:szCs w:val="22"/>
        </w:rPr>
        <w:t>from</w:t>
      </w:r>
      <w:r w:rsidR="00C91C19" w:rsidRPr="00C65DC1">
        <w:rPr>
          <w:sz w:val="22"/>
          <w:szCs w:val="22"/>
        </w:rPr>
        <w:t xml:space="preserve"> </w:t>
      </w:r>
      <w:r>
        <w:rPr>
          <w:sz w:val="22"/>
          <w:szCs w:val="22"/>
        </w:rPr>
        <w:t>4-6</w:t>
      </w:r>
      <w:r w:rsidR="00C91C19" w:rsidRPr="00C65DC1">
        <w:rPr>
          <w:sz w:val="22"/>
          <w:szCs w:val="22"/>
        </w:rPr>
        <w:t xml:space="preserve"> weeks prior to the procedure and for 6 weeks afterward. Each patient should acknowledge that continued</w:t>
      </w:r>
      <w:r>
        <w:rPr>
          <w:sz w:val="22"/>
          <w:szCs w:val="22"/>
        </w:rPr>
        <w:t xml:space="preserve"> nicotine</w:t>
      </w:r>
      <w:r w:rsidR="00C91C19" w:rsidRPr="00C65DC1">
        <w:rPr>
          <w:sz w:val="22"/>
          <w:szCs w:val="22"/>
        </w:rPr>
        <w:t xml:space="preserve"> use significantly increases the likelihood of a local wound complication, to include but may not be limited to: infection, hematoma, compromise of any implant, and suboptimal quality of the scar once definitive healing is obtained.  This is aside from any pulmonary sequelae</w:t>
      </w:r>
      <w:r w:rsidR="00247E63" w:rsidRPr="00C65DC1">
        <w:rPr>
          <w:sz w:val="22"/>
          <w:szCs w:val="22"/>
        </w:rPr>
        <w:t xml:space="preserve"> or other more serious risks of general anesthesia</w:t>
      </w:r>
      <w:r w:rsidR="00C91C19" w:rsidRPr="00C65DC1">
        <w:rPr>
          <w:sz w:val="22"/>
          <w:szCs w:val="22"/>
        </w:rPr>
        <w:t xml:space="preserve">.  </w:t>
      </w:r>
      <w:r>
        <w:rPr>
          <w:sz w:val="22"/>
          <w:szCs w:val="22"/>
        </w:rPr>
        <w:t>Complication rates are increased approximately 12-24 times</w:t>
      </w:r>
      <w:r w:rsidRPr="005F23D6">
        <w:rPr>
          <w:sz w:val="22"/>
          <w:szCs w:val="22"/>
        </w:rPr>
        <w:t xml:space="preserve"> </w:t>
      </w:r>
      <w:r>
        <w:rPr>
          <w:sz w:val="22"/>
          <w:szCs w:val="22"/>
        </w:rPr>
        <w:t xml:space="preserve">with nicotine use. You may be offered a surgery today based on tobacco/nicotine cessation and the use of our “Tobacco/Nicotine Protocol.” Among other specifics, this policy allows for </w:t>
      </w:r>
      <w:r w:rsidRPr="005F23D6">
        <w:rPr>
          <w:sz w:val="22"/>
          <w:szCs w:val="22"/>
        </w:rPr>
        <w:t>cancellation of any surgery with</w:t>
      </w:r>
      <w:r>
        <w:rPr>
          <w:sz w:val="22"/>
          <w:szCs w:val="22"/>
        </w:rPr>
        <w:t xml:space="preserve"> </w:t>
      </w:r>
      <w:r w:rsidRPr="005F23D6">
        <w:rPr>
          <w:b/>
          <w:sz w:val="22"/>
          <w:szCs w:val="22"/>
          <w:u w:val="single"/>
        </w:rPr>
        <w:t>NO REFUND</w:t>
      </w:r>
      <w:r>
        <w:rPr>
          <w:sz w:val="22"/>
          <w:szCs w:val="22"/>
        </w:rPr>
        <w:t xml:space="preserve"> if you </w:t>
      </w:r>
      <w:r w:rsidRPr="007841E7">
        <w:rPr>
          <w:b/>
          <w:sz w:val="22"/>
          <w:szCs w:val="22"/>
        </w:rPr>
        <w:t>test positive</w:t>
      </w:r>
      <w:r>
        <w:rPr>
          <w:sz w:val="22"/>
          <w:szCs w:val="22"/>
        </w:rPr>
        <w:t xml:space="preserve"> during urine cotinine test on the </w:t>
      </w:r>
      <w:r w:rsidRPr="007841E7">
        <w:rPr>
          <w:b/>
          <w:sz w:val="22"/>
          <w:szCs w:val="22"/>
        </w:rPr>
        <w:t>morning of surgery</w:t>
      </w:r>
      <w:r>
        <w:rPr>
          <w:sz w:val="22"/>
          <w:szCs w:val="22"/>
        </w:rPr>
        <w:t xml:space="preserve">. </w:t>
      </w:r>
    </w:p>
    <w:p w:rsidR="00090317" w:rsidRPr="00C65DC1" w:rsidRDefault="00090317">
      <w:pPr>
        <w:rPr>
          <w:sz w:val="22"/>
          <w:szCs w:val="22"/>
        </w:rPr>
      </w:pPr>
    </w:p>
    <w:p w:rsidR="00996ECD" w:rsidRDefault="00090317" w:rsidP="00AC491A">
      <w:pPr>
        <w:shd w:val="clear" w:color="auto" w:fill="FFFFFF"/>
        <w:rPr>
          <w:color w:val="111111"/>
          <w:sz w:val="22"/>
          <w:szCs w:val="23"/>
        </w:rPr>
      </w:pPr>
      <w:r w:rsidRPr="00C65DC1">
        <w:rPr>
          <w:b/>
          <w:sz w:val="22"/>
          <w:szCs w:val="22"/>
          <w:highlight w:val="yellow"/>
        </w:rPr>
        <w:t>BREAST SURGERY PATIENTS:</w:t>
      </w:r>
      <w:r w:rsidRPr="00C65DC1">
        <w:rPr>
          <w:b/>
          <w:sz w:val="22"/>
          <w:szCs w:val="22"/>
        </w:rPr>
        <w:t xml:space="preserve"> </w:t>
      </w:r>
      <w:r w:rsidRPr="00C65DC1">
        <w:rPr>
          <w:iCs/>
          <w:color w:val="222222"/>
          <w:sz w:val="22"/>
          <w:szCs w:val="22"/>
        </w:rPr>
        <w:t>Breast implant-associated anaplastic large cell lymphoma (BIA-ALCL) is a very rare type of lymphoma that can develop in the scar capsule near saline or silicone breast implants.  This very rare disease is currently being investigated as to its relationship with breast implants.  The family of ALCL is an extremely rare cancer of the immune system, which can occur anywhere in the body.  Based on adverse event reports, the United States Food and Drug Administration (FDA) estimates the total number of US cases of BIA-ALCL to be up to 250.  A predominance of BIA-ALCL patients have been noted to have a history of a textured-surface devices.  An exact single-number estimate of the risk for both textured and non-textured implants is not possible with the currently available data.  The lifetime risk of BIA-ALCL has been estimated to be between 1:1,000 and 1: 30,000 in women with textured breast implants, and BIA-ALCL risk is currently under investigation.  BIA-ALCL usually involves a swelling of the breast, on average 3 to 14 years after the operation to insert the breast implant.  Most cases were cured by removal of the implant and capsule surrounding the implant; however, rare cases have required chemotherapy and/or radiation therapy for treatment.</w:t>
      </w:r>
      <w:r w:rsidR="00AC491A">
        <w:rPr>
          <w:color w:val="222222"/>
          <w:sz w:val="22"/>
          <w:szCs w:val="22"/>
        </w:rPr>
        <w:t xml:space="preserve"> </w:t>
      </w:r>
      <w:r w:rsidRPr="00C65DC1">
        <w:rPr>
          <w:iCs/>
          <w:color w:val="222222"/>
          <w:sz w:val="22"/>
          <w:szCs w:val="22"/>
        </w:rPr>
        <w:t>Patients with breast implants should be followed by a surgeon over time and seek professional care for implant-related symptoms such as pain, lumps, swelling, or asymmetry.  Patients should monitor their breast implants with routine breast self-exams and follow standard medical recommendations for imaging (e.g., mammography, ultrasound, MRI).  Abnormal screening results or implant-related symptoms may result in additional costs and expenses for tests and/or procedures to properly diagnose and treat your condition.  Tests and procedures could include, but may not be limited to, obtaining breast fluid or tissue for pathology and laboratory evaluation, surgery to remove the scar capsule around the breast implant, implant removal, or implant replacement.</w:t>
      </w:r>
      <w:r w:rsidR="00B45CC1">
        <w:rPr>
          <w:iCs/>
          <w:color w:val="222222"/>
          <w:sz w:val="22"/>
          <w:szCs w:val="22"/>
        </w:rPr>
        <w:t xml:space="preserve"> </w:t>
      </w:r>
      <w:r w:rsidR="00AC491A" w:rsidRPr="00AC491A">
        <w:rPr>
          <w:color w:val="111111"/>
          <w:sz w:val="22"/>
          <w:szCs w:val="23"/>
        </w:rPr>
        <w:t xml:space="preserve">Breast implant associated </w:t>
      </w:r>
      <w:r w:rsidR="00AC491A" w:rsidRPr="00AC491A">
        <w:rPr>
          <w:color w:val="111111"/>
          <w:sz w:val="22"/>
          <w:szCs w:val="23"/>
        </w:rPr>
        <w:lastRenderedPageBreak/>
        <w:t>illness (BIAI) is a term used to refer to a wide range of symptoms that can develop after undergoing reconstruction or cosmetic augmentation with breast implants. It is also sometimes referred to as autoimmune/inflammatory syndrome induced by adjuvants (ASIA). BIAI can occur with any t</w:t>
      </w:r>
      <w:r w:rsidR="00AC491A">
        <w:rPr>
          <w:color w:val="111111"/>
          <w:sz w:val="22"/>
          <w:szCs w:val="23"/>
        </w:rPr>
        <w:t xml:space="preserve">ype of breast </w:t>
      </w:r>
    </w:p>
    <w:p w:rsidR="00996ECD" w:rsidRDefault="00996ECD" w:rsidP="00AC491A">
      <w:pPr>
        <w:shd w:val="clear" w:color="auto" w:fill="FFFFFF"/>
        <w:rPr>
          <w:color w:val="111111"/>
          <w:sz w:val="22"/>
          <w:szCs w:val="23"/>
        </w:rPr>
      </w:pPr>
    </w:p>
    <w:p w:rsidR="00996ECD" w:rsidRDefault="00996ECD" w:rsidP="00AC491A">
      <w:pPr>
        <w:shd w:val="clear" w:color="auto" w:fill="FFFFFF"/>
        <w:rPr>
          <w:color w:val="111111"/>
          <w:sz w:val="22"/>
          <w:szCs w:val="23"/>
        </w:rPr>
      </w:pPr>
    </w:p>
    <w:p w:rsidR="00C65DC1" w:rsidRDefault="00AC491A" w:rsidP="00C65DC1">
      <w:pPr>
        <w:shd w:val="clear" w:color="auto" w:fill="FFFFFF"/>
        <w:rPr>
          <w:color w:val="222222"/>
          <w:sz w:val="22"/>
          <w:szCs w:val="22"/>
        </w:rPr>
      </w:pPr>
      <w:r>
        <w:rPr>
          <w:color w:val="111111"/>
          <w:sz w:val="22"/>
          <w:szCs w:val="23"/>
        </w:rPr>
        <w:t>implant, including</w:t>
      </w:r>
      <w:r w:rsidRPr="00AC491A">
        <w:rPr>
          <w:color w:val="111111"/>
          <w:sz w:val="22"/>
          <w:szCs w:val="23"/>
        </w:rPr>
        <w:t xml:space="preserve"> silicone gel-filled, saline-filled, smooth surface, textured surface, round, or teardrop-shaped.</w:t>
      </w:r>
      <w:r>
        <w:rPr>
          <w:color w:val="111111"/>
          <w:sz w:val="22"/>
          <w:szCs w:val="23"/>
        </w:rPr>
        <w:t xml:space="preserve"> </w:t>
      </w:r>
      <w:r w:rsidRPr="00AC491A">
        <w:rPr>
          <w:color w:val="111111"/>
          <w:sz w:val="22"/>
          <w:szCs w:val="23"/>
        </w:rPr>
        <w:t>BIAI impacts each individual in a unique way. Symptoms can include: joint and muscle pain, chronic fatigue, memory and concentration problems, breathing problems, sleep disturbance, rashes and skin problems, dry mouth and dry eyes, anxiety, depression, headaches, hair loss, and gastrointestinal problems. The symptoms can appear any time after implant surgery. A lot of the symptoms of BIAI are associated with autoimmune and connective tissue disorders. In many, but not all cases, surgery to remove the breast implants improves or completely resolves the BIAI symptoms.</w:t>
      </w:r>
    </w:p>
    <w:p w:rsidR="00676C5A" w:rsidRDefault="00676C5A" w:rsidP="00676C5A">
      <w:pPr>
        <w:jc w:val="center"/>
        <w:rPr>
          <w:b/>
          <w:highlight w:val="yellow"/>
          <w:u w:val="single"/>
        </w:rPr>
      </w:pPr>
    </w:p>
    <w:p w:rsidR="00676C5A" w:rsidRDefault="00676C5A" w:rsidP="00676C5A">
      <w:pPr>
        <w:jc w:val="center"/>
        <w:rPr>
          <w:b/>
          <w:u w:val="single"/>
        </w:rPr>
      </w:pPr>
      <w:r w:rsidRPr="00CA3F3D">
        <w:rPr>
          <w:b/>
          <w:highlight w:val="yellow"/>
          <w:u w:val="single"/>
        </w:rPr>
        <w:t>Additional COVID19 Consent</w:t>
      </w:r>
    </w:p>
    <w:p w:rsidR="00676C5A" w:rsidRDefault="00676C5A" w:rsidP="00676C5A">
      <w:pPr>
        <w:jc w:val="center"/>
        <w:rPr>
          <w:b/>
          <w:u w:val="single"/>
        </w:rPr>
      </w:pPr>
    </w:p>
    <w:p w:rsidR="00676C5A" w:rsidRDefault="00676C5A" w:rsidP="00676C5A"/>
    <w:p w:rsidR="00676C5A" w:rsidRDefault="00676C5A" w:rsidP="00676C5A">
      <w:pPr>
        <w:ind w:firstLine="720"/>
      </w:pPr>
      <w:r>
        <w:t>In the current environment with COVID19 infections, the risks of any planned procedure are incalculable. Although we have practiced social distancing and proper screening of all patients in the building and that staff has subscribed to the same social distancing and screening requirements, (</w:t>
      </w:r>
      <w:proofErr w:type="spellStart"/>
      <w:r>
        <w:t>ie</w:t>
      </w:r>
      <w:proofErr w:type="spellEnd"/>
      <w:r>
        <w:t xml:space="preserve">. symptom and exposure reporting, temperature checks, and the wearing of masks) it is probable that the risk of a COVID19 infection, asymptomatic or symptomatic with a pulmonary complication from the procedure is higher than current community transmition rates (as of this time, there is no screening test that we can offer asymptomatic patients).  Indeed, hospitalization may be required, of which we have little or no control. Our understanding of your informed consent is that you wish to proceed with the consultation at this time, given the discussion above. Updates regarding our COVID19 policies will be made as available. </w:t>
      </w:r>
    </w:p>
    <w:p w:rsidR="00676C5A" w:rsidRDefault="00676C5A" w:rsidP="00676C5A">
      <w:pPr>
        <w:ind w:firstLine="720"/>
      </w:pPr>
    </w:p>
    <w:p w:rsidR="00676C5A" w:rsidRDefault="00676C5A" w:rsidP="00676C5A">
      <w:pPr>
        <w:ind w:firstLine="720"/>
      </w:pPr>
    </w:p>
    <w:p w:rsidR="00676C5A" w:rsidRDefault="00676C5A" w:rsidP="00676C5A">
      <w:pPr>
        <w:rPr>
          <w:sz w:val="22"/>
          <w:szCs w:val="22"/>
        </w:rPr>
      </w:pPr>
      <w:r w:rsidRPr="00C65DC1">
        <w:rPr>
          <w:sz w:val="22"/>
          <w:szCs w:val="22"/>
        </w:rPr>
        <w:t>Patient signature: __________________________________________ Date: __________</w:t>
      </w:r>
    </w:p>
    <w:p w:rsidR="00676C5A" w:rsidRPr="00C65DC1" w:rsidRDefault="00676C5A" w:rsidP="00C65DC1">
      <w:pPr>
        <w:shd w:val="clear" w:color="auto" w:fill="FFFFFF"/>
        <w:rPr>
          <w:color w:val="222222"/>
          <w:sz w:val="22"/>
          <w:szCs w:val="22"/>
        </w:rPr>
      </w:pPr>
    </w:p>
    <w:p w:rsidR="00397A0D" w:rsidRDefault="00397A0D">
      <w:pPr>
        <w:rPr>
          <w:sz w:val="22"/>
          <w:szCs w:val="22"/>
        </w:rPr>
      </w:pPr>
    </w:p>
    <w:p w:rsidR="00C91C19" w:rsidRPr="00C65DC1" w:rsidRDefault="00C91C19">
      <w:pPr>
        <w:rPr>
          <w:sz w:val="22"/>
          <w:szCs w:val="22"/>
        </w:rPr>
      </w:pPr>
    </w:p>
    <w:sectPr w:rsidR="00C91C19" w:rsidRPr="00C65DC1" w:rsidSect="00C65DC1">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21" w:rsidRDefault="00010E21" w:rsidP="00010E21">
      <w:r>
        <w:separator/>
      </w:r>
    </w:p>
  </w:endnote>
  <w:endnote w:type="continuationSeparator" w:id="0">
    <w:p w:rsidR="00010E21" w:rsidRDefault="00010E21" w:rsidP="0001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C1" w:rsidRPr="007841E7" w:rsidRDefault="007841E7" w:rsidP="007841E7">
    <w:pPr>
      <w:pStyle w:val="Foote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sidRPr="007841E7">
      <w:rPr>
        <w:sz w:val="16"/>
        <w:szCs w:val="16"/>
      </w:rPr>
      <w:t>Updated 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21" w:rsidRDefault="00010E21" w:rsidP="00010E21">
      <w:r>
        <w:separator/>
      </w:r>
    </w:p>
  </w:footnote>
  <w:footnote w:type="continuationSeparator" w:id="0">
    <w:p w:rsidR="00010E21" w:rsidRDefault="00010E21" w:rsidP="00010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21" w:rsidRDefault="00010E21" w:rsidP="00010E21">
    <w:pPr>
      <w:pStyle w:val="Header"/>
      <w:jc w:val="center"/>
    </w:pPr>
    <w:r w:rsidRPr="008F595C">
      <w:rPr>
        <w:noProof/>
      </w:rPr>
      <w:drawing>
        <wp:inline distT="0" distB="0" distL="0" distR="0" wp14:anchorId="56BF7B7F" wp14:editId="0AF1A9EE">
          <wp:extent cx="1485796" cy="790575"/>
          <wp:effectExtent l="0" t="0" r="635" b="0"/>
          <wp:docPr id="2" name="Picture 2" descr="\\PSCO-V07-NXT\redirections$\cfritz\Desktop\Front Desk\Logo &amp; Labels\PSC  LOGO 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O-V07-NXT\redirections$\cfritz\Desktop\Front Desk\Logo &amp; Labels\PSC  LOGO 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11" cy="811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19"/>
    <w:rsid w:val="00010E21"/>
    <w:rsid w:val="00036661"/>
    <w:rsid w:val="00090317"/>
    <w:rsid w:val="0019793A"/>
    <w:rsid w:val="00206FB3"/>
    <w:rsid w:val="00247E63"/>
    <w:rsid w:val="002F0ADB"/>
    <w:rsid w:val="00397A0D"/>
    <w:rsid w:val="003A4EAD"/>
    <w:rsid w:val="00410515"/>
    <w:rsid w:val="004660E0"/>
    <w:rsid w:val="005A0C80"/>
    <w:rsid w:val="005C66C6"/>
    <w:rsid w:val="005F23D6"/>
    <w:rsid w:val="0063315D"/>
    <w:rsid w:val="00676C5A"/>
    <w:rsid w:val="007841E7"/>
    <w:rsid w:val="00814477"/>
    <w:rsid w:val="00855956"/>
    <w:rsid w:val="008C027A"/>
    <w:rsid w:val="008D2E75"/>
    <w:rsid w:val="00996ECD"/>
    <w:rsid w:val="009F3AF2"/>
    <w:rsid w:val="00A61AEA"/>
    <w:rsid w:val="00AC491A"/>
    <w:rsid w:val="00AD1B05"/>
    <w:rsid w:val="00AE72A1"/>
    <w:rsid w:val="00AF5F53"/>
    <w:rsid w:val="00B41CB6"/>
    <w:rsid w:val="00B45CC1"/>
    <w:rsid w:val="00C65DC1"/>
    <w:rsid w:val="00C91C19"/>
    <w:rsid w:val="00D604BF"/>
    <w:rsid w:val="00E53DCA"/>
    <w:rsid w:val="00E71D03"/>
    <w:rsid w:val="00E94519"/>
    <w:rsid w:val="00F9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9B6882-A373-4ACB-8C67-A6DF98A5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C66C6"/>
    <w:rPr>
      <w:rFonts w:ascii="Segoe UI" w:hAnsi="Segoe UI" w:cs="Segoe UI"/>
      <w:sz w:val="18"/>
      <w:szCs w:val="18"/>
    </w:rPr>
  </w:style>
  <w:style w:type="character" w:customStyle="1" w:styleId="BalloonTextChar">
    <w:name w:val="Balloon Text Char"/>
    <w:basedOn w:val="DefaultParagraphFont"/>
    <w:link w:val="BalloonText"/>
    <w:semiHidden/>
    <w:rsid w:val="005C66C6"/>
    <w:rPr>
      <w:rFonts w:ascii="Segoe UI" w:hAnsi="Segoe UI" w:cs="Segoe UI"/>
      <w:sz w:val="18"/>
      <w:szCs w:val="18"/>
    </w:rPr>
  </w:style>
  <w:style w:type="paragraph" w:styleId="Header">
    <w:name w:val="header"/>
    <w:basedOn w:val="Normal"/>
    <w:link w:val="HeaderChar"/>
    <w:uiPriority w:val="99"/>
    <w:unhideWhenUsed/>
    <w:rsid w:val="00010E21"/>
    <w:pPr>
      <w:tabs>
        <w:tab w:val="center" w:pos="4680"/>
        <w:tab w:val="right" w:pos="9360"/>
      </w:tabs>
    </w:pPr>
  </w:style>
  <w:style w:type="character" w:customStyle="1" w:styleId="HeaderChar">
    <w:name w:val="Header Char"/>
    <w:basedOn w:val="DefaultParagraphFont"/>
    <w:link w:val="Header"/>
    <w:uiPriority w:val="99"/>
    <w:rsid w:val="00010E21"/>
    <w:rPr>
      <w:sz w:val="24"/>
      <w:szCs w:val="24"/>
    </w:rPr>
  </w:style>
  <w:style w:type="paragraph" w:styleId="Footer">
    <w:name w:val="footer"/>
    <w:basedOn w:val="Normal"/>
    <w:link w:val="FooterChar"/>
    <w:unhideWhenUsed/>
    <w:rsid w:val="00010E21"/>
    <w:pPr>
      <w:tabs>
        <w:tab w:val="center" w:pos="4680"/>
        <w:tab w:val="right" w:pos="9360"/>
      </w:tabs>
    </w:pPr>
  </w:style>
  <w:style w:type="character" w:customStyle="1" w:styleId="FooterChar">
    <w:name w:val="Footer Char"/>
    <w:basedOn w:val="DefaultParagraphFont"/>
    <w:link w:val="Footer"/>
    <w:rsid w:val="00010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69526">
      <w:bodyDiv w:val="1"/>
      <w:marLeft w:val="0"/>
      <w:marRight w:val="0"/>
      <w:marTop w:val="0"/>
      <w:marBottom w:val="0"/>
      <w:divBdr>
        <w:top w:val="none" w:sz="0" w:space="0" w:color="auto"/>
        <w:left w:val="none" w:sz="0" w:space="0" w:color="auto"/>
        <w:bottom w:val="none" w:sz="0" w:space="0" w:color="auto"/>
        <w:right w:val="none" w:sz="0" w:space="0" w:color="auto"/>
      </w:divBdr>
      <w:divsChild>
        <w:div w:id="954598384">
          <w:marLeft w:val="0"/>
          <w:marRight w:val="0"/>
          <w:marTop w:val="0"/>
          <w:marBottom w:val="0"/>
          <w:divBdr>
            <w:top w:val="none" w:sz="0" w:space="0" w:color="auto"/>
            <w:left w:val="none" w:sz="0" w:space="0" w:color="auto"/>
            <w:bottom w:val="none" w:sz="0" w:space="0" w:color="auto"/>
            <w:right w:val="none" w:sz="0" w:space="0" w:color="auto"/>
          </w:divBdr>
          <w:divsChild>
            <w:div w:id="1222013007">
              <w:marLeft w:val="0"/>
              <w:marRight w:val="0"/>
              <w:marTop w:val="0"/>
              <w:marBottom w:val="0"/>
              <w:divBdr>
                <w:top w:val="none" w:sz="0" w:space="0" w:color="auto"/>
                <w:left w:val="none" w:sz="0" w:space="0" w:color="auto"/>
                <w:bottom w:val="none" w:sz="0" w:space="0" w:color="auto"/>
                <w:right w:val="none" w:sz="0" w:space="0" w:color="auto"/>
              </w:divBdr>
              <w:divsChild>
                <w:div w:id="651131431">
                  <w:marLeft w:val="0"/>
                  <w:marRight w:val="0"/>
                  <w:marTop w:val="0"/>
                  <w:marBottom w:val="0"/>
                  <w:divBdr>
                    <w:top w:val="none" w:sz="0" w:space="0" w:color="auto"/>
                    <w:left w:val="none" w:sz="0" w:space="0" w:color="auto"/>
                    <w:bottom w:val="none" w:sz="0" w:space="0" w:color="auto"/>
                    <w:right w:val="none" w:sz="0" w:space="0" w:color="auto"/>
                  </w:divBdr>
                  <w:divsChild>
                    <w:div w:id="1649086663">
                      <w:marLeft w:val="0"/>
                      <w:marRight w:val="0"/>
                      <w:marTop w:val="0"/>
                      <w:marBottom w:val="0"/>
                      <w:divBdr>
                        <w:top w:val="none" w:sz="0" w:space="0" w:color="auto"/>
                        <w:left w:val="none" w:sz="0" w:space="0" w:color="auto"/>
                        <w:bottom w:val="none" w:sz="0" w:space="0" w:color="auto"/>
                        <w:right w:val="none" w:sz="0" w:space="0" w:color="auto"/>
                      </w:divBdr>
                      <w:divsChild>
                        <w:div w:id="834417757">
                          <w:marLeft w:val="0"/>
                          <w:marRight w:val="0"/>
                          <w:marTop w:val="0"/>
                          <w:marBottom w:val="0"/>
                          <w:divBdr>
                            <w:top w:val="none" w:sz="0" w:space="0" w:color="auto"/>
                            <w:left w:val="none" w:sz="0" w:space="0" w:color="auto"/>
                            <w:bottom w:val="none" w:sz="0" w:space="0" w:color="auto"/>
                            <w:right w:val="none" w:sz="0" w:space="0" w:color="auto"/>
                          </w:divBdr>
                          <w:divsChild>
                            <w:div w:id="1058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Wyllie</dc:creator>
  <cp:lastModifiedBy>FrontDesk</cp:lastModifiedBy>
  <cp:revision>2</cp:revision>
  <cp:lastPrinted>2021-04-06T13:25:00Z</cp:lastPrinted>
  <dcterms:created xsi:type="dcterms:W3CDTF">2021-04-13T15:57:00Z</dcterms:created>
  <dcterms:modified xsi:type="dcterms:W3CDTF">2021-04-13T15:57:00Z</dcterms:modified>
</cp:coreProperties>
</file>